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6FF59" w14:textId="77777777" w:rsidR="00796F86" w:rsidRDefault="00796F86" w:rsidP="00796F86">
      <w:r>
        <w:rPr>
          <w:rFonts w:ascii="DFLiHei-Md-WIN-BF" w:eastAsia="DFLiHei-Md-WIN-BF" w:cs="DFLiHei-Md-WIN-BF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A8A0D" wp14:editId="017EDD1C">
                <wp:simplePos x="0" y="0"/>
                <wp:positionH relativeFrom="margin">
                  <wp:align>right</wp:align>
                </wp:positionH>
                <wp:positionV relativeFrom="paragraph">
                  <wp:posOffset>-350957</wp:posOffset>
                </wp:positionV>
                <wp:extent cx="687598" cy="44532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98" cy="44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8C5B5" w14:textId="68A1D0F0" w:rsidR="00796F86" w:rsidRPr="00796F86" w:rsidRDefault="00796F86" w:rsidP="00796F86">
                            <w:pPr>
                              <w:jc w:val="right"/>
                              <w:rPr>
                                <w:rFonts w:ascii="DFLiHei-Md-WIN-BF" w:eastAsia="DFLiHei-Md-WIN-BF" w:cs="DFLiHei-Md-WIN-BF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96F86">
                              <w:rPr>
                                <w:rFonts w:ascii="DFLiHei-Md-WIN-BF" w:eastAsia="DFLiHei-Md-WIN-BF" w:cs="DFLiHei-Md-WIN-BF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A8A0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95pt;margin-top:-27.65pt;width:54.15pt;height:35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" fillcolor="white [3201]" stroked="f" strokeweight=".5pt">
                <v:textbox>
                  <w:txbxContent>
                    <w:p w14:paraId="7678C5B5" w14:textId="68A1D0F0" w:rsidR="00796F86" w:rsidRPr="00796F86" w:rsidRDefault="00796F86" w:rsidP="00796F86">
                      <w:pPr>
                        <w:jc w:val="right"/>
                        <w:rPr>
                          <w:rFonts w:ascii="DFLiHei-Md-WIN-BF" w:eastAsia="DFLiHei-Md-WIN-BF" w:cs="DFLiHei-Md-WIN-BF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796F86">
                        <w:rPr>
                          <w:rFonts w:ascii="DFLiHei-Md-WIN-BF" w:eastAsia="DFLiHei-Md-WIN-BF" w:cs="DFLiHei-Md-WIN-BF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拔尖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中四化學 酸和</w:t>
      </w:r>
      <w:proofErr w:type="gramStart"/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鹼</w:t>
      </w:r>
      <w:proofErr w:type="gramEnd"/>
    </w:p>
    <w:p w14:paraId="25BEB0EE" w14:textId="77777777" w:rsidR="00796F86" w:rsidRPr="00DF5002" w:rsidRDefault="00796F86" w:rsidP="00796F86">
      <w:pPr>
        <w:rPr>
          <w:rFonts w:ascii="DFLiHei-Md-WIN-BF" w:cs="DFLiHei-Md-WIN-BF"/>
          <w:b/>
          <w:bCs/>
          <w:sz w:val="24"/>
          <w:szCs w:val="24"/>
        </w:rPr>
      </w:pPr>
      <w:r w:rsidRPr="00DF5002">
        <w:rPr>
          <w:rFonts w:ascii="DFLiHei-Md-WIN-BF" w:eastAsia="DFLiHei-Md-WIN-BF" w:cs="DFLiHei-Md-WIN-BF" w:hint="eastAsia"/>
          <w:b/>
          <w:bCs/>
          <w:sz w:val="24"/>
          <w:szCs w:val="24"/>
        </w:rPr>
        <w:t>利用標定來測定溶液的摩爾濃度</w:t>
      </w:r>
    </w:p>
    <w:p w14:paraId="1F966BC3" w14:textId="77777777" w:rsidR="00796F86" w:rsidRPr="00DF5002" w:rsidRDefault="00796F86" w:rsidP="00796F86">
      <w:pPr>
        <w:autoSpaceDE w:val="0"/>
        <w:autoSpaceDN w:val="0"/>
        <w:adjustRightInd w:val="0"/>
        <w:spacing w:after="0" w:line="240" w:lineRule="auto"/>
        <w:rPr>
          <w:rFonts w:ascii="Guardi-Roman" w:eastAsia="DFLiSong-Lt-HKSCS-U" w:hAnsi="Guardi-Roman" w:cs="Guardi-Roman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把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3.78 g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的乙二酸晶體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(COOH)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proofErr w:type="gramStart"/>
      <w:r w:rsidRPr="00DF5002">
        <w:rPr>
          <w:rFonts w:ascii="DFLiSong-Lt-HKSCS-U" w:eastAsia="DFLiSong-Lt-HKSCS-U" w:cs="DFLiSong-Lt-HKSCS-U" w:hint="eastAsia"/>
          <w:sz w:val="24"/>
          <w:szCs w:val="24"/>
        </w:rPr>
        <w:t>․</w:t>
      </w:r>
      <w:proofErr w:type="gramEnd"/>
      <w:r w:rsidRPr="00DF5002">
        <w:rPr>
          <w:rFonts w:ascii="Guardi-Roman" w:eastAsia="DFLiSong-Lt-HKSCS-U" w:hAnsi="Guardi-Roman" w:cs="Guardi-Roman"/>
          <w:sz w:val="24"/>
          <w:szCs w:val="24"/>
        </w:rPr>
        <w:t>2H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O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溶於蒸餾水中，製備成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250.0 cm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溶液。當中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25.0 cm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</w:p>
    <w:p w14:paraId="68B0CE63" w14:textId="77777777" w:rsidR="00796F86" w:rsidRPr="00DF5002" w:rsidRDefault="00796F86" w:rsidP="00796F86">
      <w:pPr>
        <w:autoSpaceDE w:val="0"/>
        <w:autoSpaceDN w:val="0"/>
        <w:adjustRightInd w:val="0"/>
        <w:spacing w:after="0" w:line="240" w:lineRule="auto"/>
        <w:rPr>
          <w:rFonts w:ascii="DFLiSong-Lt-HKSCS-U" w:eastAsia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的該溶液需要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15.00 cm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氫氧化鉀溶液來完全反應。計算氫氧化鉀溶液的摩爾濃度。</w:t>
      </w:r>
    </w:p>
    <w:p w14:paraId="61EA8ECB" w14:textId="77777777" w:rsidR="00796F86" w:rsidRPr="00DF5002" w:rsidRDefault="00796F86" w:rsidP="00796F86">
      <w:pPr>
        <w:autoSpaceDE w:val="0"/>
        <w:autoSpaceDN w:val="0"/>
        <w:adjustRightInd w:val="0"/>
        <w:spacing w:after="0" w:line="240" w:lineRule="auto"/>
        <w:rPr>
          <w:rFonts w:ascii="DFYuan-W8-WIN-BF" w:cs="DFYuan-W8-WIN-BF"/>
          <w:color w:val="E6005A"/>
          <w:sz w:val="24"/>
          <w:szCs w:val="24"/>
        </w:rPr>
      </w:pPr>
      <w:r w:rsidRPr="00DF5002">
        <w:rPr>
          <w:rFonts w:ascii="Guardi-Roman" w:eastAsia="DFLiSong-Lt-HKSCS-U" w:hAnsi="Guardi-Roman" w:cs="Guardi-Roman"/>
          <w:sz w:val="24"/>
          <w:szCs w:val="24"/>
        </w:rPr>
        <w:t>(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相對原子質量：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H = 1.0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C = 12.0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O = 16.0)</w:t>
      </w:r>
    </w:p>
    <w:p w14:paraId="7E74F1FC" w14:textId="77777777" w:rsidR="00796F86" w:rsidRPr="00DF5002" w:rsidRDefault="00796F86" w:rsidP="00796F86">
      <w:pPr>
        <w:autoSpaceDE w:val="0"/>
        <w:autoSpaceDN w:val="0"/>
        <w:adjustRightInd w:val="0"/>
        <w:spacing w:after="0" w:line="240" w:lineRule="auto"/>
        <w:rPr>
          <w:rFonts w:ascii="DFYuan-W8-WIN-BF" w:cs="DFYuan-W8-WIN-BF"/>
          <w:color w:val="E6005A"/>
          <w:sz w:val="24"/>
          <w:szCs w:val="24"/>
        </w:rPr>
      </w:pPr>
    </w:p>
    <w:p w14:paraId="3916C642" w14:textId="4E3080C8" w:rsidR="00796F86" w:rsidRDefault="00796F86"/>
    <w:sectPr w:rsidR="00796F86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5347" w14:textId="77777777" w:rsidR="00870C9E" w:rsidRDefault="00870C9E" w:rsidP="00993C0F">
      <w:pPr>
        <w:spacing w:after="0" w:line="240" w:lineRule="auto"/>
      </w:pPr>
      <w:r>
        <w:separator/>
      </w:r>
    </w:p>
  </w:endnote>
  <w:endnote w:type="continuationSeparator" w:id="0">
    <w:p w14:paraId="150D26D6" w14:textId="77777777" w:rsidR="00870C9E" w:rsidRDefault="00870C9E" w:rsidP="0099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Hei-Md-WIN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SCS-U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ardi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Yuan-W8-WIN-B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40D9A" w14:textId="77777777" w:rsidR="00870C9E" w:rsidRDefault="00870C9E" w:rsidP="00993C0F">
      <w:pPr>
        <w:spacing w:after="0" w:line="240" w:lineRule="auto"/>
      </w:pPr>
      <w:r>
        <w:separator/>
      </w:r>
    </w:p>
  </w:footnote>
  <w:footnote w:type="continuationSeparator" w:id="0">
    <w:p w14:paraId="76BE3332" w14:textId="77777777" w:rsidR="00870C9E" w:rsidRDefault="00870C9E" w:rsidP="00993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C4"/>
    <w:rsid w:val="0003161E"/>
    <w:rsid w:val="001133DA"/>
    <w:rsid w:val="004312AA"/>
    <w:rsid w:val="006720C4"/>
    <w:rsid w:val="00796F86"/>
    <w:rsid w:val="00870C9E"/>
    <w:rsid w:val="00993C0F"/>
    <w:rsid w:val="00C51A72"/>
    <w:rsid w:val="00F24EF0"/>
    <w:rsid w:val="00F9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E0BCA"/>
  <w15:chartTrackingRefBased/>
  <w15:docId w15:val="{CF0682E2-7FB8-43D9-B2DE-415ED319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EF0"/>
    <w:rPr>
      <w:color w:val="808080"/>
    </w:rPr>
  </w:style>
  <w:style w:type="paragraph" w:styleId="a4">
    <w:name w:val="header"/>
    <w:basedOn w:val="a"/>
    <w:link w:val="a5"/>
    <w:uiPriority w:val="99"/>
    <w:unhideWhenUsed/>
    <w:rsid w:val="0099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993C0F"/>
  </w:style>
  <w:style w:type="paragraph" w:styleId="a6">
    <w:name w:val="footer"/>
    <w:basedOn w:val="a"/>
    <w:link w:val="a7"/>
    <w:uiPriority w:val="99"/>
    <w:unhideWhenUsed/>
    <w:rsid w:val="0099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99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5</cp:revision>
  <dcterms:created xsi:type="dcterms:W3CDTF">2021-03-28T04:10:00Z</dcterms:created>
  <dcterms:modified xsi:type="dcterms:W3CDTF">2021-03-28T05:43:00Z</dcterms:modified>
</cp:coreProperties>
</file>